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12" w:rsidRPr="00CB7612" w:rsidRDefault="00CB7612" w:rsidP="00CB7612">
      <w:pPr>
        <w:shd w:val="clear" w:color="auto" w:fill="FFFFFF"/>
        <w:spacing w:after="144" w:line="223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b/>
          <w:bCs/>
          <w:color w:val="333333"/>
          <w:kern w:val="36"/>
          <w:sz w:val="19"/>
          <w:lang w:eastAsia="ru-RU"/>
        </w:rPr>
        <w:t>Статья 2. Особенности применения контрольно-кассовой техники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(в ред. Федерального </w:t>
      </w:r>
      <w:hyperlink r:id="rId4" w:anchor="dst100066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закона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от 03.07.2016 N 290-ФЗ)</w:t>
      </w:r>
    </w:p>
    <w:p w:rsidR="00CB7612" w:rsidRPr="00CB7612" w:rsidRDefault="00CB7612" w:rsidP="00CB7612">
      <w:pPr>
        <w:shd w:val="clear" w:color="auto" w:fill="FFFFFF"/>
        <w:spacing w:after="0" w:line="278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см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. текст в предыдущей редакции)</w:t>
      </w:r>
    </w:p>
    <w:p w:rsidR="00CB7612" w:rsidRPr="00CB7612" w:rsidRDefault="00CB7612" w:rsidP="00CB7612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dst544"/>
      <w:bookmarkEnd w:id="0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1. Контрольно-кассовая техника не применяется кредитными организациями.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в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 ред. Федерального </w:t>
      </w:r>
      <w:hyperlink r:id="rId5" w:anchor="dst100048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закона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от 03.07.2018 N 192-ФЗ)</w:t>
      </w:r>
    </w:p>
    <w:p w:rsidR="00CB7612" w:rsidRPr="00CB7612" w:rsidRDefault="00CB7612" w:rsidP="00CB761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см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. текст в предыдущей редакции)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" w:name="dst113"/>
      <w:bookmarkEnd w:id="1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Контрольно-кассовая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дств пл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атежа распоряжений кредитной организации об осуществлении перевода денежных средств.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" w:name="dst545"/>
      <w:bookmarkEnd w:id="2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Кредитные организации обязаны вести перечень автоматических устрой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ств дл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я расчетов, находящихся в их собственности или пользовании и обеспечивающих возможность осуществления операций по выдаче и (или)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средств.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(в ред. Федерального </w:t>
      </w:r>
      <w:hyperlink r:id="rId6" w:anchor="dst100050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закона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от 03.07.2018 N 192-ФЗ)</w:t>
      </w:r>
    </w:p>
    <w:p w:rsidR="00CB7612" w:rsidRPr="00CB7612" w:rsidRDefault="00CB7612" w:rsidP="00CB761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см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. текст в предыдущей редакции)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3" w:name="dst546"/>
      <w:bookmarkEnd w:id="3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1.1. Контрольно-кассовая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расчетов, совершаемых исключительно монетой Банка России, за исключением автоматических устрой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ств дл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я расчетов, питаемых от электрической энергии (в том числе электрических аккумуляторов или батарей).</w:t>
      </w:r>
    </w:p>
    <w:p w:rsidR="00CB7612" w:rsidRPr="00CB7612" w:rsidRDefault="00CB7612" w:rsidP="00CB7612">
      <w:pPr>
        <w:shd w:val="clear" w:color="auto" w:fill="FFFFFF"/>
        <w:spacing w:after="192" w:line="223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п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. 1.1 введен Федеральным </w:t>
      </w:r>
      <w:hyperlink r:id="rId7" w:anchor="dst100052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законом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от 03.07.2018 N 192-ФЗ)</w:t>
      </w:r>
    </w:p>
    <w:p w:rsidR="00CB7612" w:rsidRPr="00CB7612" w:rsidRDefault="00CB7612" w:rsidP="00CB7612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КонсультантПлюс</w:t>
      </w:r>
      <w:proofErr w:type="spell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: примечание.</w:t>
      </w:r>
    </w:p>
    <w:p w:rsidR="00CB7612" w:rsidRPr="00CB7612" w:rsidRDefault="00CB7612" w:rsidP="00CB7612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Отдельные </w:t>
      </w:r>
      <w:proofErr w:type="spell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юрлица</w:t>
      </w:r>
      <w:proofErr w:type="spell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 и ИП, помимо указанных в п. 2 ст. 2, вправе осуществлять расчеты без применения ККТ с выдачей документа о приеме денег до 01.07.2019 (ФЗ от 03.07.2016 N 290-ФЗ).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4" w:name="dst115"/>
      <w:bookmarkEnd w:id="4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2.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контрольно-кассовой техники при осуществлении следующих видов деятельности и при оказании следующих услуг: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5" w:name="dst547"/>
      <w:bookmarkEnd w:id="5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продажа газет и журналов на бумажном носителе, а также продажа в газетно-журнальных киосках сопутствующих товаров при условии,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(в ред. Федерального </w:t>
      </w:r>
      <w:hyperlink r:id="rId8" w:anchor="dst100055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закона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от 03.07.2018 N 192-ФЗ)</w:t>
      </w:r>
    </w:p>
    <w:p w:rsidR="00CB7612" w:rsidRPr="00CB7612" w:rsidRDefault="00CB7612" w:rsidP="00CB761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см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. текст в предыдущей редакции)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6" w:name="dst117"/>
      <w:bookmarkEnd w:id="6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продажа ценных бумаг;</w:t>
      </w:r>
    </w:p>
    <w:p w:rsidR="00CB7612" w:rsidRPr="00CB7612" w:rsidRDefault="00CB7612" w:rsidP="00CB7612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КонсультантПлюс</w:t>
      </w:r>
      <w:proofErr w:type="spell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: примечание.</w:t>
      </w:r>
    </w:p>
    <w:p w:rsidR="00CB7612" w:rsidRPr="00CB7612" w:rsidRDefault="00CB7612" w:rsidP="00CB7612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С 1 июля 2019 года Федеральным </w:t>
      </w:r>
      <w:hyperlink r:id="rId9" w:anchor="dst100056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законом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от 03.07.2018 N 192-ФЗ абзац 4 пункта 2 статьи 2 признается утратившим силу.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7" w:name="dst118"/>
      <w:bookmarkEnd w:id="7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продажа водителем или кондуктором в салоне транспортного средства проездных документов (билетов) и талонов для проезда в общественном транспорте;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8" w:name="dst119"/>
      <w:bookmarkEnd w:id="8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обеспечение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9" w:name="dst120"/>
      <w:bookmarkEnd w:id="9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</w:t>
      </w:r>
      <w:proofErr w:type="spell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автомагазинов</w:t>
      </w:r>
      <w:proofErr w:type="spell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, автофургонов, помещений контейнерного типа и 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других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товарами, кроме торговли непродовольственными товарами, которые определены в </w:t>
      </w:r>
      <w:hyperlink r:id="rId10" w:anchor="dst100006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перечне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, утвержденном Правительством Российской Федерации;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0" w:name="dst548"/>
      <w:bookmarkEnd w:id="10"/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осуществляемая вне стационарной торговой сети разносная торговля продовольственными и непродовольственными товарами (за исключением технически сложных товаров и продовольственных товаров, требующих определенных условий хранения и продажи, товаров, подлежащих обязательной маркировке средствами идентификации) с рук, из ручных тележек, корзин и иных специальных приспособлений для демонстрации, удобства переноски и продажи товаров, в том числе в пассажирских вагонах поездов и на борту воздушных судов;</w:t>
      </w:r>
      <w:proofErr w:type="gramEnd"/>
    </w:p>
    <w:p w:rsidR="00CB7612" w:rsidRPr="00CB7612" w:rsidRDefault="00CB7612" w:rsidP="00CB7612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(в ред. Федерального </w:t>
      </w:r>
      <w:hyperlink r:id="rId11" w:anchor="dst100057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закона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от 03.07.2018 N 192-ФЗ)</w:t>
      </w:r>
    </w:p>
    <w:p w:rsidR="00CB7612" w:rsidRPr="00CB7612" w:rsidRDefault="00CB7612" w:rsidP="00CB761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см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. текст в предыдущей редакции)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1" w:name="dst549"/>
      <w:bookmarkEnd w:id="11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lastRenderedPageBreak/>
        <w:t>торговля в киосках мороженым, а также торговля в розлив безалкогольными напитками, молоком и питьевой водой;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(в ред. Федерального </w:t>
      </w:r>
      <w:hyperlink r:id="rId12" w:anchor="dst100059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закона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от 03.07.2018 N 192-ФЗ)</w:t>
      </w:r>
    </w:p>
    <w:p w:rsidR="00CB7612" w:rsidRPr="00CB7612" w:rsidRDefault="00CB7612" w:rsidP="00CB761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см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. текст в предыдущей редакции)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2" w:name="dst123"/>
      <w:bookmarkEnd w:id="12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торговля из автоцистерн квасом, молоком, растительным маслом, живой рыбой, керосином, сезонная торговля вразвал овощами, в том числе картофелем, фруктами и бахчевыми культурами;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3" w:name="dst124"/>
      <w:bookmarkEnd w:id="13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прием от населения стеклопосуды и утильсырья, за исключением металлолома, драгоценных металлов и драгоценных камней;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4" w:name="dst125"/>
      <w:bookmarkEnd w:id="14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ремонт и окраска обуви;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5" w:name="dst126"/>
      <w:bookmarkEnd w:id="15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изготовление и ремонт металлической галантереи и ключей;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6" w:name="dst127"/>
      <w:bookmarkEnd w:id="16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присмотр и уход за детьми, больными, престарелыми и инвалидами;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7" w:name="dst128"/>
      <w:bookmarkEnd w:id="17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реализация изготовителем изделий народных художественных промыслов;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8" w:name="dst129"/>
      <w:bookmarkEnd w:id="18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вспашка огородов и распиловка дров;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9" w:name="dst130"/>
      <w:bookmarkEnd w:id="19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0" w:name="dst131"/>
      <w:bookmarkEnd w:id="20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сдача индивидуальным предпринимателем в аренду (наем) жилых помещений, принадлежащих этому индивидуальному предпринимателю на праве собственности.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1" w:name="dst550"/>
      <w:bookmarkEnd w:id="21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2.1. 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Индивидуальные предприниматели, применяющие патентную систему налогообложения, за исключением индивидуальных предпринимателей, осуществляющих виды предпринимательской деятельности, установленные </w:t>
      </w:r>
      <w:hyperlink r:id="rId13" w:anchor="dst7702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подпунктами 3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, </w:t>
      </w:r>
      <w:hyperlink r:id="rId14" w:anchor="dst7705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6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, </w:t>
      </w:r>
      <w:hyperlink r:id="rId15" w:anchor="dst7708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9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- </w:t>
      </w:r>
      <w:hyperlink r:id="rId16" w:anchor="dst7710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11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, </w:t>
      </w:r>
      <w:hyperlink r:id="rId17" w:anchor="dst7717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18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, </w:t>
      </w:r>
      <w:hyperlink r:id="rId18" w:anchor="dst7727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28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, </w:t>
      </w:r>
      <w:hyperlink r:id="rId19" w:anchor="dst7731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32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, </w:t>
      </w:r>
      <w:hyperlink r:id="rId20" w:anchor="dst7732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33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, </w:t>
      </w:r>
      <w:hyperlink r:id="rId21" w:anchor="dst7736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37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, </w:t>
      </w:r>
      <w:hyperlink r:id="rId22" w:anchor="dst7737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38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, </w:t>
      </w:r>
      <w:hyperlink r:id="rId23" w:anchor="dst7739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40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, </w:t>
      </w:r>
      <w:hyperlink r:id="rId24" w:anchor="dst7744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45</w:t>
        </w:r>
        <w:proofErr w:type="gramEnd"/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- </w:t>
      </w:r>
      <w:hyperlink r:id="rId25" w:anchor="dst11903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48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, </w:t>
      </w:r>
      <w:hyperlink r:id="rId26" w:anchor="dst11908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53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, </w:t>
      </w:r>
      <w:hyperlink r:id="rId27" w:anchor="dst11911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56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, </w:t>
      </w:r>
      <w:hyperlink r:id="rId28" w:anchor="dst11918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63 пункта 2 статьи 346.43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Налогового кодекса Российской Федерации, могут осуществлять расчеты без применения контрольно-кассовой техники при условии выдачи (направления) покупателю (клиенту) документа, подтверждающего факт осуществления расчета между индивидуальным предпринимателем и покупателем (клиентом), содержащего наименование документа, его порядковый номер, реквизиты, установленные </w:t>
      </w:r>
      <w:hyperlink r:id="rId29" w:anchor="dst451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абзацами четвертым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- </w:t>
      </w:r>
      <w:hyperlink r:id="rId30" w:anchor="dst675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двенадцатым пункта 1 статьи 4.7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настоящего Федерального закона.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(п. 2.1 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введен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 Федеральным </w:t>
      </w:r>
      <w:hyperlink r:id="rId31" w:anchor="dst100060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законом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от 03.07.2018 N 192-ФЗ)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2" w:name="dst691"/>
      <w:bookmarkEnd w:id="22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2.2. Контрольно-кассовая техника не применяется индивидуальными предпринимателями, применяющими специальный </w:t>
      </w:r>
      <w:hyperlink r:id="rId32" w:anchor="dst100013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налоговый режим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"Налог на профессиональный доход" в отношении доходов, облагаемых налогом на профессиональный доход.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п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. 2.2 введен Федеральным </w:t>
      </w:r>
      <w:hyperlink r:id="rId33" w:anchor="dst100057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законом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от 27.11.2018 N 425-ФЗ)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3" w:name="dst551"/>
      <w:bookmarkEnd w:id="23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3. 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Организации и индивидуальные предприниматели, осуществляющие расчеты в отдаленных или труднодоступных местностях (за исключением городов, районных центров (кроме административных центров муниципальных районов, являющихся единственным населенным пунктом муниципального района), поселков городского типа), указанных в перечне отдаленных или труднодоступных местностей, утвержденном органом государственной власти субъекта Российской Федерации, вправе не применять контрольно-кассовую технику при условии выдачи покупателю (клиенту) по его требованию документа, подтверждающего факт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 осуществления расчета между организацией или индивидуальным предпринимателем и покупателем (клиентом), содержащего наименование документа, его порядковый номер, реквизиты, установленные </w:t>
      </w:r>
      <w:hyperlink r:id="rId34" w:anchor="dst451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абзацами четвертым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- </w:t>
      </w:r>
      <w:hyperlink r:id="rId35" w:anchor="dst459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двенадцатым пункта 1 статьи 4.7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настоящего Федерального закона, и подписанного лицом, выдавшим этот документ.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(в ред. Федерального </w:t>
      </w:r>
      <w:hyperlink r:id="rId36" w:anchor="dst100062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закона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от 03.07.2018 N 192-ФЗ)</w:t>
      </w:r>
    </w:p>
    <w:p w:rsidR="00CB7612" w:rsidRPr="00CB7612" w:rsidRDefault="00CB7612" w:rsidP="00CB761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см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. текст в предыдущей редакции)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4" w:name="dst133"/>
      <w:bookmarkEnd w:id="24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"Интернет" перечень, указанный в </w:t>
      </w:r>
      <w:hyperlink r:id="rId37" w:anchor="dst132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абзаце первом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настоящего пункта, а также внесенные в указанный перечень изменения.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5" w:name="dst134"/>
      <w:bookmarkEnd w:id="25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4. Правительство Российской Федерации устанавливает </w:t>
      </w:r>
      <w:hyperlink r:id="rId38" w:anchor="dst100008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порядок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выдачи и учета документов, указанных в </w:t>
      </w:r>
      <w:hyperlink r:id="rId39" w:anchor="dst132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пункте 3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настоящей статьи.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6" w:name="dst135"/>
      <w:bookmarkEnd w:id="26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5. Аптечные организации, находящиеся в фельдшерских и фельдшерско-акушерских пунктах, расположенных в сельских населенных пунктах, и обособленные подразделения медицинских организаций, имеющих </w:t>
      </w:r>
      <w:hyperlink r:id="rId40" w:anchor="dst100017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лицензию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на фармацевтическую деятельность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организации, могут не применять контрольно-кассовую технику.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7" w:name="dst136"/>
      <w:bookmarkEnd w:id="27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6. 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Контрольно-кассовая техника может не применяться при оказании услуг по проведению религиозных обрядов и церемоний, а также при реализации предметов религиозного культа и религиозной литературы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организаций, зарегистрированных в порядке, установленном законодательством Российской Федерации.</w:t>
      </w:r>
      <w:proofErr w:type="gramEnd"/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8" w:name="dst552"/>
      <w:bookmarkEnd w:id="28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7. 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В отдаленных от сетей связи местностях, определенных в соответствии с критериями, установленными федеральным органом исполнительной власти, осуществляющим функции по </w:t>
      </w: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lastRenderedPageBreak/>
        <w:t>выработке и реализации государственной политики и нормативно-правовому регулированию в сфере связи, и указанных в перечне местностей, удаленных от сетей связи, утвержденном органом государственной власти субъекта Российской Федерации, а также на территориях военных объектов, объектов органов федеральной службы безопасности, органов государственной охраны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, органов внешней разведки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(в ред. Федерального </w:t>
      </w:r>
      <w:hyperlink r:id="rId41" w:anchor="dst100063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закона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от 03.07.2018 N 192-ФЗ)</w:t>
      </w:r>
    </w:p>
    <w:p w:rsidR="00CB7612" w:rsidRPr="00CB7612" w:rsidRDefault="00CB7612" w:rsidP="00CB761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см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. текст в предыдущей редакции)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29" w:name="dst138"/>
      <w:bookmarkEnd w:id="29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"Интернет" указанный в </w:t>
      </w:r>
      <w:hyperlink r:id="rId42" w:anchor="dst137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абзаце первом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настоящего пункта перечень, а также внесенные в указанный перечень изменения.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30" w:name="dst553"/>
      <w:bookmarkEnd w:id="30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8. Положения </w:t>
      </w:r>
      <w:hyperlink r:id="rId43" w:anchor="dst115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пункта 2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(за исключением торговли в розлив питьевой водой), </w:t>
      </w:r>
      <w:hyperlink r:id="rId44" w:anchor="dst551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пунктов 3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и </w:t>
      </w:r>
      <w:hyperlink r:id="rId45" w:anchor="dst135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5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настоящей статьи не распространяются на организации и индивидуальных предпринимателей, которые используют для осуществления расчетов автоматическое устройство для расчетов, а также осуществляют торговлю подакцизными товарами.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(в ред. Федерального </w:t>
      </w:r>
      <w:hyperlink r:id="rId46" w:anchor="dst100064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закона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от 03.07.2018 N 192-ФЗ)</w:t>
      </w:r>
    </w:p>
    <w:p w:rsidR="00CB7612" w:rsidRPr="00CB7612" w:rsidRDefault="00CB7612" w:rsidP="00CB761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см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. текст в предыдущей редакции)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31" w:name="dst554"/>
      <w:bookmarkEnd w:id="31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9. Контрольно-кассовая техника не применяется при осуществлении расчетов в безналичном порядке между организациями и (или) индивидуальными предпринимателями, за исключением осуществляемых ими расчетов с использованием электронного средства платежа с его предъявлением.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п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. 9 в ред. Федерального </w:t>
      </w:r>
      <w:hyperlink r:id="rId47" w:anchor="dst100065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закона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от 03.07.2018 N 192-ФЗ)</w:t>
      </w:r>
    </w:p>
    <w:p w:rsidR="00CB7612" w:rsidRPr="00CB7612" w:rsidRDefault="00CB7612" w:rsidP="00CB7612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см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. текст в предыдущей редакции)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32" w:name="dst555"/>
      <w:bookmarkEnd w:id="32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10. 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Контрольно-кассовая техника не применяется организациями,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(парковочными местами), расположенными на автомобильных дорогах общего пользования регионального (межмуниципального) и местного значения, а также парковками (парковочными местами), создаваемыми на земельных участках, которые находятся в собственности субъектов Российской Федерации, собственности муниципальных образований или государственная собственность на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 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которые не разграничена,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счет, открытый в территориальном органе Федерального казначейства, в течение пяти рабочих дней со дня получения такими организациями денежных средств.</w:t>
      </w:r>
      <w:proofErr w:type="gramEnd"/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33" w:name="dst556"/>
      <w:bookmarkEnd w:id="33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Орган государственной власти субъекта Российской Федерации доводит до сведения уполномоченного органа информацию об организациях, указанных в </w:t>
      </w:r>
      <w:hyperlink r:id="rId48" w:anchor="dst555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абзаце первом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 настоящего пункта, в течение пяти рабочих дней 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с даты наделения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 таких организаций полномочиями, указанными в </w:t>
      </w:r>
      <w:hyperlink r:id="rId49" w:anchor="dst555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абзаце первом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настоящего пункта.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34" w:name="dst557"/>
      <w:bookmarkEnd w:id="34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В случае изменения информации об организациях, указанных в настоящем пункте, орган государственной власти субъекта Российской Федерации в течение пяти рабочих дней 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с даты изменения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 такой информации доводит соответствующие изменения до сведения уполномоченного органа.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(п. 10 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введен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 Федеральным </w:t>
      </w:r>
      <w:hyperlink r:id="rId50" w:anchor="dst100067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законом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от 03.07.2018 N 192-ФЗ)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35" w:name="dst558"/>
      <w:bookmarkEnd w:id="35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11. 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При осуществлении страховщиком расчетов со страхователями с участием страховых агентов, не являющихся организациями или индивидуальными предпринимателями и действующих от имени и за счет страховщика, в рамках деятельности по страхованию, осуществляемой в соответствии с </w:t>
      </w:r>
      <w:hyperlink r:id="rId51" w:anchor="dst0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Законом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Российской Федерации от 27 ноября 1992 года N 4015-1 "Об организации страхового дела в Российской Федерации", страховщик применяет контрольно-кассовую технику при получении этим страховщиком денежных средств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 от такого страхового агента с направлением кассового чека (бланка строгой отчетности) в электронной форме страхователю.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(п. 11 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введен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 xml:space="preserve"> Федеральным </w:t>
      </w:r>
      <w:hyperlink r:id="rId52" w:anchor="dst100071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законом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от 03.07.2018 N 192-ФЗ)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36" w:name="dst559"/>
      <w:bookmarkEnd w:id="36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12. Контрольно-кассовая техника может не применяться государственными и муниципальными библиотеками, а также библиотеками Российской академии наук, других академий, научно-исследовательских институтов, образовательных организаций при оказании в помещениях указанных библиотек платных услуг населению, связанных с библиотечным делом.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ind w:firstLine="54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37" w:name="dst560"/>
      <w:bookmarkEnd w:id="37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Перечень платных услуг, оказываемых указанными в настоящем пункте библиотеками без применения контрольно-кассовой техники, утверждается Правительством Российской Федерации.</w:t>
      </w:r>
    </w:p>
    <w:p w:rsidR="00CB7612" w:rsidRPr="00CB7612" w:rsidRDefault="00CB7612" w:rsidP="00CB7612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(</w:t>
      </w:r>
      <w:proofErr w:type="gramStart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п</w:t>
      </w:r>
      <w:proofErr w:type="gramEnd"/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. 12 введен Федеральным </w:t>
      </w:r>
      <w:hyperlink r:id="rId53" w:anchor="dst100072" w:history="1">
        <w:r w:rsidRPr="00CB7612">
          <w:rPr>
            <w:rFonts w:ascii="Arial" w:eastAsia="Times New Roman" w:hAnsi="Arial" w:cs="Arial"/>
            <w:color w:val="666699"/>
            <w:sz w:val="19"/>
            <w:lang w:eastAsia="ru-RU"/>
          </w:rPr>
          <w:t>законом</w:t>
        </w:r>
      </w:hyperlink>
      <w:r w:rsidRPr="00CB7612">
        <w:rPr>
          <w:rFonts w:ascii="Arial" w:eastAsia="Times New Roman" w:hAnsi="Arial" w:cs="Arial"/>
          <w:color w:val="333333"/>
          <w:sz w:val="19"/>
          <w:lang w:eastAsia="ru-RU"/>
        </w:rPr>
        <w:t> от 03.07.2018 N 192-ФЗ)</w:t>
      </w:r>
    </w:p>
    <w:p w:rsidR="000F7BEB" w:rsidRDefault="000F7BEB"/>
    <w:sectPr w:rsidR="000F7BEB" w:rsidSect="000F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7612"/>
    <w:rsid w:val="000F7BEB"/>
    <w:rsid w:val="00CB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EB"/>
  </w:style>
  <w:style w:type="paragraph" w:styleId="1">
    <w:name w:val="heading 1"/>
    <w:basedOn w:val="a"/>
    <w:link w:val="10"/>
    <w:uiPriority w:val="9"/>
    <w:qFormat/>
    <w:rsid w:val="00CB7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B7612"/>
  </w:style>
  <w:style w:type="character" w:customStyle="1" w:styleId="hl">
    <w:name w:val="hl"/>
    <w:basedOn w:val="a0"/>
    <w:rsid w:val="00CB7612"/>
  </w:style>
  <w:style w:type="character" w:styleId="a3">
    <w:name w:val="Hyperlink"/>
    <w:basedOn w:val="a0"/>
    <w:uiPriority w:val="99"/>
    <w:semiHidden/>
    <w:unhideWhenUsed/>
    <w:rsid w:val="00CB7612"/>
    <w:rPr>
      <w:color w:val="0000FF"/>
      <w:u w:val="single"/>
    </w:rPr>
  </w:style>
  <w:style w:type="character" w:customStyle="1" w:styleId="nobr">
    <w:name w:val="nobr"/>
    <w:basedOn w:val="a0"/>
    <w:rsid w:val="00CB7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6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4828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785734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614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9013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15079/dfe87d3a71d81daff6243d64c49ef41c5c3302eb/" TargetMode="External"/><Relationship Id="rId18" Type="http://schemas.openxmlformats.org/officeDocument/2006/relationships/hyperlink" Target="http://www.consultant.ru/document/cons_doc_LAW_315079/dfe87d3a71d81daff6243d64c49ef41c5c3302eb/" TargetMode="External"/><Relationship Id="rId26" Type="http://schemas.openxmlformats.org/officeDocument/2006/relationships/hyperlink" Target="http://www.consultant.ru/document/cons_doc_LAW_315079/dfe87d3a71d81daff6243d64c49ef41c5c3302eb/" TargetMode="External"/><Relationship Id="rId39" Type="http://schemas.openxmlformats.org/officeDocument/2006/relationships/hyperlink" Target="http://www.consultant.ru/document/cons_doc_LAW_301297/0c17a4091d18f33af58d3c20e17e1ac7f808242e/" TargetMode="External"/><Relationship Id="rId21" Type="http://schemas.openxmlformats.org/officeDocument/2006/relationships/hyperlink" Target="http://www.consultant.ru/document/cons_doc_LAW_315079/dfe87d3a71d81daff6243d64c49ef41c5c3302eb/" TargetMode="External"/><Relationship Id="rId34" Type="http://schemas.openxmlformats.org/officeDocument/2006/relationships/hyperlink" Target="http://www.consultant.ru/document/cons_doc_LAW_301297/7a607e9ee7058b0c3bcb22e564e88190964aee72/" TargetMode="External"/><Relationship Id="rId42" Type="http://schemas.openxmlformats.org/officeDocument/2006/relationships/hyperlink" Target="http://www.consultant.ru/document/cons_doc_LAW_301297/0c17a4091d18f33af58d3c20e17e1ac7f808242e/" TargetMode="External"/><Relationship Id="rId47" Type="http://schemas.openxmlformats.org/officeDocument/2006/relationships/hyperlink" Target="http://www.consultant.ru/document/cons_doc_LAW_301597/3d0cac60971a511280cbba229d9b6329c07731f7/" TargetMode="External"/><Relationship Id="rId50" Type="http://schemas.openxmlformats.org/officeDocument/2006/relationships/hyperlink" Target="http://www.consultant.ru/document/cons_doc_LAW_301597/3d0cac60971a511280cbba229d9b6329c07731f7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onsultant.ru/document/cons_doc_LAW_301597/3d0cac60971a511280cbba229d9b6329c07731f7/" TargetMode="External"/><Relationship Id="rId12" Type="http://schemas.openxmlformats.org/officeDocument/2006/relationships/hyperlink" Target="http://www.consultant.ru/document/cons_doc_LAW_301597/3d0cac60971a511280cbba229d9b6329c07731f7/" TargetMode="External"/><Relationship Id="rId17" Type="http://schemas.openxmlformats.org/officeDocument/2006/relationships/hyperlink" Target="http://www.consultant.ru/document/cons_doc_LAW_315079/dfe87d3a71d81daff6243d64c49ef41c5c3302eb/" TargetMode="External"/><Relationship Id="rId25" Type="http://schemas.openxmlformats.org/officeDocument/2006/relationships/hyperlink" Target="http://www.consultant.ru/document/cons_doc_LAW_315079/dfe87d3a71d81daff6243d64c49ef41c5c3302eb/" TargetMode="External"/><Relationship Id="rId33" Type="http://schemas.openxmlformats.org/officeDocument/2006/relationships/hyperlink" Target="http://www.consultant.ru/document/cons_doc_LAW_311973/ad890e68b83c920baeae9bb9fdc9b94feb1af0ad/" TargetMode="External"/><Relationship Id="rId38" Type="http://schemas.openxmlformats.org/officeDocument/2006/relationships/hyperlink" Target="http://www.consultant.ru/document/cons_doc_LAW_214075/ae44719a577d34ccf5090de6e9ab7b4edddefb80/" TargetMode="External"/><Relationship Id="rId46" Type="http://schemas.openxmlformats.org/officeDocument/2006/relationships/hyperlink" Target="http://www.consultant.ru/document/cons_doc_LAW_301597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15079/dfe87d3a71d81daff6243d64c49ef41c5c3302eb/" TargetMode="External"/><Relationship Id="rId20" Type="http://schemas.openxmlformats.org/officeDocument/2006/relationships/hyperlink" Target="http://www.consultant.ru/document/cons_doc_LAW_315079/dfe87d3a71d81daff6243d64c49ef41c5c3302eb/" TargetMode="External"/><Relationship Id="rId29" Type="http://schemas.openxmlformats.org/officeDocument/2006/relationships/hyperlink" Target="http://www.consultant.ru/document/cons_doc_LAW_301297/7a607e9ee7058b0c3bcb22e564e88190964aee72/" TargetMode="External"/><Relationship Id="rId41" Type="http://schemas.openxmlformats.org/officeDocument/2006/relationships/hyperlink" Target="http://www.consultant.ru/document/cons_doc_LAW_301597/3d0cac60971a511280cbba229d9b6329c07731f7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597/3d0cac60971a511280cbba229d9b6329c07731f7/" TargetMode="External"/><Relationship Id="rId11" Type="http://schemas.openxmlformats.org/officeDocument/2006/relationships/hyperlink" Target="http://www.consultant.ru/document/cons_doc_LAW_301597/3d0cac60971a511280cbba229d9b6329c07731f7/" TargetMode="External"/><Relationship Id="rId24" Type="http://schemas.openxmlformats.org/officeDocument/2006/relationships/hyperlink" Target="http://www.consultant.ru/document/cons_doc_LAW_315079/dfe87d3a71d81daff6243d64c49ef41c5c3302eb/" TargetMode="External"/><Relationship Id="rId32" Type="http://schemas.openxmlformats.org/officeDocument/2006/relationships/hyperlink" Target="http://www.consultant.ru/document/cons_doc_LAW_311977/b95cb9fec1c635e413e8e40c9bb7e951acd3bf97/" TargetMode="External"/><Relationship Id="rId37" Type="http://schemas.openxmlformats.org/officeDocument/2006/relationships/hyperlink" Target="http://www.consultant.ru/document/cons_doc_LAW_301297/0c17a4091d18f33af58d3c20e17e1ac7f808242e/" TargetMode="External"/><Relationship Id="rId40" Type="http://schemas.openxmlformats.org/officeDocument/2006/relationships/hyperlink" Target="http://www.consultant.ru/document/cons_doc_LAW_219592/c9ba7b9848da9ee6732f9ecc09caffd7f559557d/" TargetMode="External"/><Relationship Id="rId45" Type="http://schemas.openxmlformats.org/officeDocument/2006/relationships/hyperlink" Target="http://www.consultant.ru/document/cons_doc_LAW_301297/0c17a4091d18f33af58d3c20e17e1ac7f808242e/" TargetMode="External"/><Relationship Id="rId53" Type="http://schemas.openxmlformats.org/officeDocument/2006/relationships/hyperlink" Target="http://www.consultant.ru/document/cons_doc_LAW_301597/3d0cac60971a511280cbba229d9b6329c07731f7/" TargetMode="External"/><Relationship Id="rId5" Type="http://schemas.openxmlformats.org/officeDocument/2006/relationships/hyperlink" Target="http://www.consultant.ru/document/cons_doc_LAW_301597/3d0cac60971a511280cbba229d9b6329c07731f7/" TargetMode="External"/><Relationship Id="rId15" Type="http://schemas.openxmlformats.org/officeDocument/2006/relationships/hyperlink" Target="http://www.consultant.ru/document/cons_doc_LAW_315079/dfe87d3a71d81daff6243d64c49ef41c5c3302eb/" TargetMode="External"/><Relationship Id="rId23" Type="http://schemas.openxmlformats.org/officeDocument/2006/relationships/hyperlink" Target="http://www.consultant.ru/document/cons_doc_LAW_315079/dfe87d3a71d81daff6243d64c49ef41c5c3302eb/" TargetMode="External"/><Relationship Id="rId28" Type="http://schemas.openxmlformats.org/officeDocument/2006/relationships/hyperlink" Target="http://www.consultant.ru/document/cons_doc_LAW_315079/dfe87d3a71d81daff6243d64c49ef41c5c3302eb/" TargetMode="External"/><Relationship Id="rId36" Type="http://schemas.openxmlformats.org/officeDocument/2006/relationships/hyperlink" Target="http://www.consultant.ru/document/cons_doc_LAW_301597/3d0cac60971a511280cbba229d9b6329c07731f7/" TargetMode="External"/><Relationship Id="rId49" Type="http://schemas.openxmlformats.org/officeDocument/2006/relationships/hyperlink" Target="http://www.consultant.ru/document/cons_doc_LAW_301297/0c17a4091d18f33af58d3c20e17e1ac7f808242e/" TargetMode="External"/><Relationship Id="rId10" Type="http://schemas.openxmlformats.org/officeDocument/2006/relationships/hyperlink" Target="http://www.consultant.ru/document/cons_doc_LAW_215741/0f6842b6f2cb330c710d5c343e67bcd86ffc1280/" TargetMode="External"/><Relationship Id="rId19" Type="http://schemas.openxmlformats.org/officeDocument/2006/relationships/hyperlink" Target="http://www.consultant.ru/document/cons_doc_LAW_315079/dfe87d3a71d81daff6243d64c49ef41c5c3302eb/" TargetMode="External"/><Relationship Id="rId31" Type="http://schemas.openxmlformats.org/officeDocument/2006/relationships/hyperlink" Target="http://www.consultant.ru/document/cons_doc_LAW_301597/3d0cac60971a511280cbba229d9b6329c07731f7/" TargetMode="External"/><Relationship Id="rId44" Type="http://schemas.openxmlformats.org/officeDocument/2006/relationships/hyperlink" Target="http://www.consultant.ru/document/cons_doc_LAW_301297/0c17a4091d18f33af58d3c20e17e1ac7f808242e/" TargetMode="External"/><Relationship Id="rId52" Type="http://schemas.openxmlformats.org/officeDocument/2006/relationships/hyperlink" Target="http://www.consultant.ru/document/cons_doc_LAW_301597/3d0cac60971a511280cbba229d9b6329c07731f7/" TargetMode="External"/><Relationship Id="rId4" Type="http://schemas.openxmlformats.org/officeDocument/2006/relationships/hyperlink" Target="http://www.consultant.ru/document/cons_doc_LAW_301643/3d0cac60971a511280cbba229d9b6329c07731f7/" TargetMode="External"/><Relationship Id="rId9" Type="http://schemas.openxmlformats.org/officeDocument/2006/relationships/hyperlink" Target="http://www.consultant.ru/document/cons_doc_LAW_301597/3d0cac60971a511280cbba229d9b6329c07731f7/" TargetMode="External"/><Relationship Id="rId14" Type="http://schemas.openxmlformats.org/officeDocument/2006/relationships/hyperlink" Target="http://www.consultant.ru/document/cons_doc_LAW_315079/dfe87d3a71d81daff6243d64c49ef41c5c3302eb/" TargetMode="External"/><Relationship Id="rId22" Type="http://schemas.openxmlformats.org/officeDocument/2006/relationships/hyperlink" Target="http://www.consultant.ru/document/cons_doc_LAW_315079/dfe87d3a71d81daff6243d64c49ef41c5c3302eb/" TargetMode="External"/><Relationship Id="rId27" Type="http://schemas.openxmlformats.org/officeDocument/2006/relationships/hyperlink" Target="http://www.consultant.ru/document/cons_doc_LAW_315079/dfe87d3a71d81daff6243d64c49ef41c5c3302eb/" TargetMode="External"/><Relationship Id="rId30" Type="http://schemas.openxmlformats.org/officeDocument/2006/relationships/hyperlink" Target="http://www.consultant.ru/document/cons_doc_LAW_301297/7a607e9ee7058b0c3bcb22e564e88190964aee72/" TargetMode="External"/><Relationship Id="rId35" Type="http://schemas.openxmlformats.org/officeDocument/2006/relationships/hyperlink" Target="http://www.consultant.ru/document/cons_doc_LAW_301297/7a607e9ee7058b0c3bcb22e564e88190964aee72/" TargetMode="External"/><Relationship Id="rId43" Type="http://schemas.openxmlformats.org/officeDocument/2006/relationships/hyperlink" Target="http://www.consultant.ru/document/cons_doc_LAW_301297/0c17a4091d18f33af58d3c20e17e1ac7f808242e/" TargetMode="External"/><Relationship Id="rId48" Type="http://schemas.openxmlformats.org/officeDocument/2006/relationships/hyperlink" Target="http://www.consultant.ru/document/cons_doc_LAW_301297/0c17a4091d18f33af58d3c20e17e1ac7f808242e/" TargetMode="External"/><Relationship Id="rId8" Type="http://schemas.openxmlformats.org/officeDocument/2006/relationships/hyperlink" Target="http://www.consultant.ru/document/cons_doc_LAW_301597/3d0cac60971a511280cbba229d9b6329c07731f7/" TargetMode="External"/><Relationship Id="rId51" Type="http://schemas.openxmlformats.org/officeDocument/2006/relationships/hyperlink" Target="http://www.consultant.ru/document/cons_doc_LAW_300854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2946</Words>
  <Characters>16797</Characters>
  <Application>Microsoft Office Word</Application>
  <DocSecurity>0</DocSecurity>
  <Lines>139</Lines>
  <Paragraphs>39</Paragraphs>
  <ScaleCrop>false</ScaleCrop>
  <Company/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2019-04-03T08:02:00Z</dcterms:created>
  <dcterms:modified xsi:type="dcterms:W3CDTF">2019-04-03T08:02:00Z</dcterms:modified>
</cp:coreProperties>
</file>